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7C39" w:rsidRDefault="00E67C39" w:rsidP="00E67C39">
      <w:pPr>
        <w:jc w:val="both"/>
        <w:rPr>
          <w:rFonts w:ascii="Arial" w:hAnsi="Arial" w:cs="Arial"/>
          <w:b/>
          <w:noProof/>
          <w:sz w:val="24"/>
          <w:szCs w:val="24"/>
        </w:r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t>E</w:t>
      </w:r>
      <w:r w:rsidRPr="005E12C0">
        <w:rPr>
          <w:rFonts w:ascii="Arial" w:hAnsi="Arial" w:cs="Arial"/>
          <w:b/>
          <w:noProof/>
          <w:sz w:val="24"/>
          <w:szCs w:val="24"/>
        </w:rPr>
        <w:t>16 .-LAVADO DE LAS LÍNEAS CON NITRÓGENO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En este ítem se realizara el  purgado o lavado de las líneas y equipos con gas nitrógeno con la finalidad de eliminar la contaminación y mezclas expolivas.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Para llevar adelante esta actividad se empleara compresores,  y nitrógeno gaseoso.</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El contratista deberá de proveer todos los insumos, herramientas e equipos necesarios para la realización de esta actividad.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deberá realizar el lavado o purgado de todas las líneas, tanques de GNL, equipos  para eliminar la formación de mezclas explosivas.</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esta actividad se empleara nitrógeno en estado gaseoso a condiciones de temperatura ambiente a una presión superior a la atmosférica.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El comisionado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Default="00E67C39" w:rsidP="00E67C39">
      <w:pPr>
        <w:jc w:val="both"/>
        <w:rPr>
          <w:rFonts w:ascii="Arial" w:hAnsi="Arial" w:cs="Arial"/>
          <w:noProof/>
          <w:sz w:val="24"/>
          <w:szCs w:val="24"/>
        </w:rPr>
      </w:pPr>
    </w:p>
    <w:p w:rsidR="00E67C39" w:rsidRDefault="00E67C39" w:rsidP="00E67C39">
      <w:pPr>
        <w:jc w:val="both"/>
        <w:rPr>
          <w:rFonts w:ascii="Arial" w:hAnsi="Arial" w:cs="Arial"/>
          <w:noProof/>
          <w:sz w:val="24"/>
          <w:szCs w:val="24"/>
        </w:rPr>
      </w:pPr>
    </w:p>
    <w:p w:rsidR="00E67C39" w:rsidRDefault="00E67C39" w:rsidP="00E67C39">
      <w:pPr>
        <w:jc w:val="both"/>
        <w:rPr>
          <w:rFonts w:ascii="Arial" w:hAnsi="Arial" w:cs="Arial"/>
          <w:noProof/>
          <w:sz w:val="24"/>
          <w:szCs w:val="24"/>
        </w:rPr>
      </w:pPr>
    </w:p>
    <w:p w:rsidR="00E67C39" w:rsidRDefault="00E67C39" w:rsidP="00E67C39">
      <w:pPr>
        <w:jc w:val="both"/>
        <w:rPr>
          <w:rFonts w:ascii="Arial" w:hAnsi="Arial" w:cs="Arial"/>
          <w:noProof/>
          <w:sz w:val="24"/>
          <w:szCs w:val="24"/>
        </w:rPr>
      </w:pPr>
    </w:p>
    <w:p w:rsidR="00E67C39" w:rsidRPr="005E12C0" w:rsidRDefault="00E67C39" w:rsidP="00E67C39">
      <w:pPr>
        <w:jc w:val="both"/>
        <w:rPr>
          <w:rFonts w:ascii="Arial" w:hAnsi="Arial" w:cs="Arial"/>
          <w:sz w:val="24"/>
          <w:szCs w:val="24"/>
        </w:rPr>
        <w:sectPr w:rsidR="00E67C39" w:rsidRPr="005E12C0" w:rsidSect="00E67C39">
          <w:headerReference w:type="default" r:id="rId7"/>
          <w:type w:val="continuous"/>
          <w:pgSz w:w="12240" w:h="15840"/>
          <w:pgMar w:top="1417" w:right="1701" w:bottom="1417" w:left="1701" w:header="708" w:footer="708" w:gutter="0"/>
          <w:pgNumType w:start="1"/>
          <w:cols w:space="708"/>
          <w:docGrid w:linePitch="360"/>
        </w:sectPr>
      </w:pPr>
    </w:p>
    <w:p w:rsidR="00E67C39" w:rsidRPr="00EC1971" w:rsidRDefault="00E67C39" w:rsidP="00E67C39">
      <w:pPr>
        <w:jc w:val="both"/>
        <w:rPr>
          <w:rFonts w:ascii="Arial" w:hAnsi="Arial" w:cs="Arial"/>
          <w:b/>
          <w:noProof/>
          <w:sz w:val="24"/>
          <w:szCs w:val="24"/>
          <w:lang w:val="pt-BR"/>
        </w:rPr>
      </w:pPr>
      <w:r w:rsidRPr="00EC1971">
        <w:rPr>
          <w:rFonts w:ascii="Arial" w:hAnsi="Arial" w:cs="Arial"/>
          <w:b/>
          <w:noProof/>
          <w:sz w:val="24"/>
          <w:szCs w:val="24"/>
          <w:lang w:val="pt-BR"/>
        </w:rPr>
        <w:lastRenderedPageBreak/>
        <w:t>E17 .-TEST DE FUGAS (ESTANQUEIDAD)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se desarrolla con la finalidad de determinar la existencia o no de fugas en las interconexiones de los equipos, líneas entre otros.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Los materiales a emplear en esta actividad son:</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 xml:space="preserve"> * Compresores, manómetros, registradores de presión, entre otros. </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El contratista deberá de proveer todos los insumos, herramientas e equipos necesarios para la realización de esta actividad.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deberá presentar un procedimiento Guía establecerá las bases para la realización de la Prueba de Estanqueidad por parte del Contratista.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La estanqueidad exige dos tipos de Pruebas: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Pruebas a presión y temperatura ambiental, que permiten detectar un primer tipo de fugas, cuando la ESR aún no ha sido enfriada.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Comprobación de fugas cuando la ESR está ya fría y los fluidos que maneja están a su presión de trabajo.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Mientras se efectúa el Secado y el Inertizado, se efectuarán comprobaciones de fugas en todos los circuitos y a la vez se corregirán si las hubiere.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Cuando ha finalizado las actividades de: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Inertizado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Reinstalación de elementos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cambio de juntas y sellos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Entonces el Contratista podrá realizar la Prueba de Estanqueidad definitiva, que es muy importante, puesto que es la comprobación de que no se producen fugas en los circuitos.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Esta Prueba, se efectuará con Nitrógeno (g), después del Inertizado, aprovechando que los circuitos entonces contienen ese gas inerte.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Esta prueba NO es una prueba de presión, sino una Prueba de que no se producen fugas.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Todos los Equipos (especialmente los criogénicos y los sometidos a presión), circuitos, líneas, etc., deberán ser probados.</w:t>
      </w:r>
    </w:p>
    <w:p w:rsidR="00E67C39" w:rsidRPr="005E12C0" w:rsidRDefault="00E67C39" w:rsidP="00E67C39">
      <w:pPr>
        <w:jc w:val="both"/>
        <w:rPr>
          <w:rFonts w:ascii="Arial" w:hAnsi="Arial" w:cs="Arial"/>
          <w:sz w:val="24"/>
          <w:szCs w:val="24"/>
        </w:rPr>
      </w:pP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El comisionado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8"/>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18 .-PRUEBAS DE DESCARGA DE LAS CISTERNAS (EN EL CASO DE  ESR54 SE REALIZARA PRUEBAS DE CARGA Y DESCARGA).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Este ítem consiste en realizar las pruebas del Skid de descarga de las ESR's y en el caso particular de la ESR54 (Caranavi) se debera realizar las pruebas del Skid de carga</w:t>
      </w:r>
      <w:r w:rsidR="00EC1971">
        <w:rPr>
          <w:rFonts w:ascii="Arial" w:hAnsi="Arial" w:cs="Arial"/>
          <w:noProof/>
          <w:sz w:val="24"/>
          <w:szCs w:val="24"/>
        </w:rPr>
        <w:t xml:space="preserve"> hacia las cisternas twislock</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Cisternas de GNL, Nitrógeno liquido y gaseoso.</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El contratista deberá de proveer todos los insumos, herramientas e equipos necesarios para la realización de esta actividad.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 presentar un procedimiento en función al manual de operación del fabricante.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realizar esta actividad se debe seguir mínimamente la siguiente secuencia  siempre y cuando se haya superado la puesta en frio de los depósitos y el skid de carga: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Activación de la toma a tierra de la cisterna (XX-XS-003-001).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Activación del para/marcha de la cisternas (XX-XS-004-001 Y XX-XS-005-001).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Desactivación del lazo de control XX-PIC-107S-01.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Apertura de la XX-SDV-101-01 y XX-SDV-102-01.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Cierre de la válvula XX-PV-108-01 y XX-PV-109-01 (Válvula ON/OFF entrada deposito fase liquida y Válvula ON/OFF/sistema presurización deposito).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Desactivación del XX-PIC-107-01 (queda desactivado siempre).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Apertura de la válvula XX-PV-110 (Válvula ON /OFF entrada deposito de la fase gaseoso).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 xml:space="preserve"> * Una vez se tenga la confirmación de la posición de las válvulas por el sistema de control, el chofer de la cisterna activa la señal piloto verde XX-XL-002-01 (señal accionamiento de la bomba de la cisterna).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Si no se refleja un cambio en el XX-LT-106-01 al cabo de 2 minutos entonces se aborta la operación.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La válvula XX-PV-108-01 se abre siempre y cuando el XX-PT-107-01  indique un valor igual o inferior a 3 barg. La válvula  XX-PV-110-01 se cierra siempre y cuando la válvula XX-PV-108-01 este totalmente abierto.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una vez finalizado la  carga se procederá a realizar lo siguiente: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Desactivación del  XX-XS-004-01 (Chofer para la bomba de la cisterna).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Desactivación del XX-XL-002-01.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Cierre de la válvula XX-PV-108-01 y XX-PV-110-01.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Desactivación del XX-XS-003-01.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 Activación del lazo de control PIC-107 con SET= 3 barg (configurable).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A los 10 minutos de las desactivación del XX-XS-004-01 se abre la válvula XX-PV-110-01 para prevenir la sobre presión en la línea de descarga por efecto de la dilatación térmica del GNL.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El contratista debe de alcanzar con el balance de masa y energía plasmado en el documento P227538-USIME1-ESRXX-DG-001.</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A manera orientativa el Contratista podrá emplear el Documento P227538-USIME1-ME-002 (Lazos de Control).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El comisionado de las pruebas de descarga de las cisternas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9"/>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19 .-PRUEBAS DE LOS TANQUES DE ALMACENAMIENTO.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consiste en las pruebas de los sub sistemas y dispositivos de los tanques de almacenamiento de GNL, además de las pruebas de  trasvase de los tanques de baja (7 bar) y de alta (20 bar).</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Termómetros infrarrojos, Nitrógeno liquido y gaseoso. EPP para sustancias criogénicas.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El contratista deberá de proveer todos los insumos, herramientas e equipos necesarios para la realización de esta actividad.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 presentar un procedimiento en función al manual de operación del fabricante.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El Contratista realizara las pruebas del circuito de regulación de presión: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Cuando la presión interior del tanque aumente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Cuando se presente un aumento de presión en el interior del tanque se verificara la apertura de las válvulas PSV 111 y 112 los mismos estarán seteadas a una presión de 10 barg (configurable).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Cuando la presión interior del tanque disminuya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en caso de ser necesario debe de simular la disminución de nivel o de presión del tanque para verificar la operatividad del circuito de puesta de presión, para lo cual abrirá las válvulas SDV-101, SDV-102 y PV-109 para permitir la regasificación de cierta cantidad de GNL en el vaporizador XXZ02-EV-01  e introducirlo por la parte superior del tanque una regasificado y de esta manera compensar la disminución de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 de alcanzar con el balance de masa y energía plasmado en el documento P227538-USIME1-ESRXX-DG-001.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A manera orientativa el Contratista podrá emplear el Documento P227538-USIME1-ME-002 (Lazos de Control).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El comisionado se cotizara de forma global y por tanto no será objeto de medición.</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0"/>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20 .-PRUEBAS DE LAS BOMBAS CENTRIFUGAS,  PISTÓN Y DE LAS LÍNEAS CRIOGÉNICAS Y COMPRESOR DE AIRE</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Esta actividad consiste en las pruebas de operatividad de los Skids que conforman las bombas sumergidas, bombas de pistón y los compresores de aire de instrumentación (XX-Z-07, XX-Z-08, XX-Z-26 y XX-Z-28).</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las Estaciones que solo tienen la línea de suministro de gas domiciliario a 20 bar, se realizara simplemente la prueba de los Skids XX-Z-26 y XX-Z-28.</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las Estaciones donde se tiene las líneas de as domiciliario y vehicular se realizara  la prueba de los Skids XX-Z-07, XX-Z-08 y XX-Z-28.</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En el caso de la ESR de Cabeza(53) y Mora(64)se realizara la prueba de los Skids XX-Z-08 y XX-Z-28.</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noProof/>
          <w:sz w:val="24"/>
          <w:szCs w:val="24"/>
        </w:rPr>
      </w:pPr>
      <w:r w:rsidRPr="00E67C39">
        <w:rPr>
          <w:rFonts w:ascii="Arial" w:hAnsi="Arial" w:cs="Arial"/>
          <w:noProof/>
          <w:sz w:val="24"/>
          <w:szCs w:val="24"/>
        </w:rPr>
        <w:t>Termómetros infrarrojos, Manómetros, Nitrógeno liquido. EPP para sustancias criogénicas.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El contratista deberá de proveer todos los insumos, herramientas e equipos necesarios para la realización de esta actividad.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realizara la prueba de los Skids para los diferentes escenarios.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Trasvase de los depósitos de baja presión a los depósitos de alta presión (XX-Z-07 y XX-Z-26)</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debe presentar un procedimiento en función al manual de operación del fabricante.</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realizar esta actividad se debe seguir mínimamente la siguiente secuencia  siempre y cuando se haya superado la puesta en frio: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desactivara el lazo de control XX-PIC-407-2 (Cierra la válvula XX-PV-409-02).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cierra la válvula XX-PV-408-02 (válvula ON/OFF entrada de la fase liquida del tanque de alta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 Se abre la válvula XX- PV-410-02 (válvula ON/OFF entrada de la fase gaseosa el tanque de alta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XX-XV-202-02(Válvula de succión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XX-XV-204-02(Válvula de retorno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XX-XV-202-02(Válvula de succión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Si la temperatura XX-TT-203-02  es menor a -100 °C durante 1 minuto, entonces se abre la válvula XX-XV-2013-02, XXPV-410-02 y cierra la válvula XX-XV-204-02.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Una vez verificado la posición de las válvulas arranca la bomba XXZ07-P-01 utilizando el variador de velocidad partiendo de 0 Hz. El control de velocidad de la bomba se realizara mediante la bomba  XX-PIC-210-02 con Set a 21 barg (Configurable).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Cuanto la presión del XX-PT-407-02 sea igual o inferior a 18 barg, se abre la válvula XX-PV-408-02, una vez verificado la apertura de la válvula  se cierra la válvula XX-PV-410-02.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Cuando el nivel del tanque de alta presión  XX-LIT-406-02 haya alcanzado el 90 % entonces la bomba se para, o también cuando el nivel del XX-LIT-106-01 sea menor al 2% entonces la bomba también para.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Una vez paralizada la bomba e cierran todas las válvulas XX-PV-408-02, XX-PV-410-02, XX-XV-202-02 y XV-213-02.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Al finalizar el cierre de las válvulas se activa el lazo de control XX-PIC-407-02.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las bombas del Skid XX-Z-26 se seguirá el mismo procedimiento anteriormente descrito.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Trasvase de los depósitos de baja presión a los depósitos de alta presión (XX-Z-07 y XX-Z-26).</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cierra la válvula XX-PV-408-02 (válvula ON/OFF entrada de la fase liquida).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Se abre la válvula XX- PV-410-02 (válvula ON/OFF entrada de la fase gaseosa).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XX-XV-202-02(Válvula de succión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XX-XV-204-02(Válvula de retorno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 Se abre la válvula XX-XV-202-02(Válvula de succión de la bomba XXZ07-P-01).</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Si la temperatura XX-TT-203-02  es menor a -100 °C durante 1 minuto, entonces se abre la válvula XX-XV-2013-02, XXPV-410-02 y cierra la válvula XX-XV-204-02.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Una vez verificado la posición de las válvulas arranca la bomba XXZ07-P-01 utilizando el variador de velocidad partiendo de 0 Hz. El control de velocidad de la bomba se realizara mediante la bomba  XX-PIC-210-02 con Set a 21 barg (Configurable).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Cuanto la presión del XX-PT-407-02 sea igual o inferior a 18 barg, se abre la válvula XX-PV-408-02, una vez verificado la apertura de la válvula  se cierra la válvula XX-PV-410-02.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Cuando el nivel del tanque de alta presión  XX-LIT-406-02 haya alcanzado el 90 % entonces la bomba se para, o también cuando el nivel del XX-LIT-106-01 sea menor al 2% entonces la bomba también para.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Una vez paralizada la bomba e cierran todas las válvulas XX-PV-408-02, XX-PV-410-02, XX-XV-202-02 y XV-213-02.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Al finalizar el cierre de las válvulas se activa el lazo de control XX-PIC-407-02.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Para las bombas del Skid XX-Z-26 se seguirá el mismo procedimiento anteriormente descrito.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Trasvase de los depósitos de baja presión a los depósitos de alta presión empleando las bombas de pistón (XX-Z-08)</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XX-SDV-104-01 (Válvula de salida de líquido del tanque de baja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XX-SDV-401-02 (Válvula de entrada de líquido del tanque de alta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abre la válvula XX- SDV-402-02 (Válvula de entrada de gas del tanque de alta presión).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desactiva el lazo de control XX-PIC-407-01 (Cierra  válvula XX-PV-409-02).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cierra la válvula XX-PV-408-02 (válvula ON/OFF entrada de la fase liquida).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Se abre la válvula XX- PV-410-02 (válvula ON/OFF entrada de la fase gaseosa).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lastRenderedPageBreak/>
        <w:t>• Se abre la válvula XX-XV-302A/B-02 y XX-XV-305A/B-02.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Si la temperatura XX-TT-303-02  es menor a -100 °C durante 1 minuto, entonces se abre la válvula XX-XV-312-02, se activa el lazo de control XX-PIC-306-02, se abre la válvula XXPV-410-02 y cierra la válvula XX-XV-305-02.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Abrir la válvula XX-XV-316A/B-02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Arrancar la bomba XXZ08-P-02A/B.</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Cerrar la válvula XX-XV-316A/B-02 después de  5 segundos del arranque de la bomba XXZ08-P-02A/B.</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Cuando se tenga un valor igual o inferior a 18 bar (Configurable) en el XX-PT-407-02, se abre la válvula XX-PV-408-02 , cuando se verifique la apertura de la válvula se cierra la válvula XX-PV-410-02 .</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Cuando se alcance el 90% de llenado del tanque de alta o cuando el nivel del tanque de baja presión sea menor al 3 % entonces se para la bomba de pistón.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cierran las válvulas XX-PV-408-02, XX-PV-410-02, XX-XV-312-02 y se desactiva el lazo XX-PIC-336-02.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Se cierra la válvula de succión de la bomba de pistón y se activa el XX-PIC-407-02.</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Pruebas del compresor de aire de instrumentación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xml:space="preserve"> El Contratista realizara la prueba de operatividad de compresor  de aire de instrumentación y sus sub sistemas.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El Contratista es responsable de consultar con el fabricante de los equipos acerca de los recaudo y el procedimiento de  operatividad de los mismos.</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A manera orientativa el Contratista podrá emplear el Documento P227538-USIME1-ME-002 (Lazos de Control).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Las pruebas del comisionado de las bombas centrifugas, bombas de pistón y líneas criogénicas se cotizara de forma global.</w:t>
      </w:r>
    </w:p>
    <w:p w:rsidR="00E67C39" w:rsidRDefault="00E67C39" w:rsidP="00E67C39">
      <w:pPr>
        <w:jc w:val="both"/>
        <w:rPr>
          <w:rFonts w:ascii="Arial" w:hAnsi="Arial" w:cs="Arial"/>
          <w:b/>
          <w:sz w:val="24"/>
          <w:szCs w:val="24"/>
        </w:rPr>
      </w:pPr>
    </w:p>
    <w:p w:rsidR="00E67C39" w:rsidRPr="005E12C0" w:rsidRDefault="00E67C39" w:rsidP="00E67C39">
      <w:pPr>
        <w:jc w:val="both"/>
        <w:rPr>
          <w:rFonts w:ascii="Arial" w:hAnsi="Arial" w:cs="Arial"/>
          <w:b/>
          <w:sz w:val="24"/>
          <w:szCs w:val="24"/>
        </w:rPr>
      </w:pPr>
      <w:r w:rsidRPr="005E12C0">
        <w:rPr>
          <w:rFonts w:ascii="Arial" w:hAnsi="Arial" w:cs="Arial"/>
          <w:b/>
          <w:sz w:val="24"/>
          <w:szCs w:val="24"/>
        </w:rPr>
        <w:lastRenderedPageBreak/>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1"/>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21 .-PRUEBAS DEL SISTEMA DE VAPORIZACIÓN DEPENDIENDO DEL TIPO DE CONFIGURACIÓN DE ESR (VAPORIZADORES, CALDERAS, ETC.)</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Esta actividad consiste en las pruebas de operatividad de los vaporizadores que conforman la ESR.</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las Estaciones que tienen caldera se hará extensiva la prueba a la caldera de vaporización</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Para la prueba de vaporización se la realizara con GNL, que deberá contemplar la contratista, además que para el caso de las calderas de las ERS se realizara con agua glicolada, el costo de la misma estará a cargo de la contratista.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Las pruebas del comisionado del sistema de vaporizadores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2"/>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22 .-PRUEBAS DEL SISTEMA F&amp;G</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consiste en las pruebas de operatividad de los sistemas de F&amp;G de la ESR</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 F&amp;G</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3"/>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23 .-PRUEBA DEL SISTEMA DE COMUNICACIÓN</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consiste en las pruebas de operatividad de los sistemas de comunicación de la ESR con Planta de GNL y el alcance se amplia  a requerimiento de YPFB sin costo adicional</w:t>
      </w:r>
      <w:r w:rsidR="00EC1971">
        <w:rPr>
          <w:rFonts w:ascii="Arial" w:hAnsi="Arial" w:cs="Arial"/>
          <w:noProof/>
          <w:sz w:val="24"/>
          <w:szCs w:val="24"/>
        </w:rPr>
        <w:t>.</w:t>
      </w:r>
    </w:p>
    <w:p w:rsidR="00EC1971" w:rsidRDefault="00EC1971" w:rsidP="00EC1971">
      <w:pPr>
        <w:jc w:val="both"/>
        <w:rPr>
          <w:rFonts w:ascii="Arial" w:hAnsi="Arial" w:cs="Arial"/>
          <w:noProof/>
          <w:sz w:val="24"/>
          <w:szCs w:val="24"/>
        </w:rPr>
      </w:pPr>
      <w:r>
        <w:rPr>
          <w:rFonts w:ascii="Arial" w:hAnsi="Arial" w:cs="Arial"/>
          <w:noProof/>
          <w:sz w:val="24"/>
          <w:szCs w:val="24"/>
        </w:rPr>
        <w:t>Tambien consiste en la prueba del sistema de control de la ESR y su funcionalidad.</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 de comunicación</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4"/>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24 .-REALIZACIÓN DE PRUEBAS DEL SISTEMA DE PROTECCIÓN ELÉCTRICO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consiste en las pruebas de operatividad de los sistemas de protección eléctrica de la ESR .</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5"/>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25 .-REALIZACIÓN DE PRUEBAS DE CONTINUIDAD ELÉCTRICA DE LOS COMPONENTES ELÉCTRICOS Y EQUIPOS ESTÁTICOS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consiste en las pruebas de continuidad eléctrica hacia los diversos componentes eléctricos de la ESR y hacia los equipos estáticos de la ESR .</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6"/>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26 .-REALIZAR PRUEBAS DE ENERGÍA EN SENTIDO DEL GIRO DE LOS MOTORES Y BALANCES DE CARGAS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actividad consiste en las pruebas de alimentación eléctrica hacia los motores y  corroborar las cargas de los mismos, además de la verificación de los valores del balance de cargas  de la ESR .</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7"/>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27 .-PRUEBA DE CORTO CIRCUITO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normalmente se lo realiza en fabrica, salvo solicitud expresa del cliente se lo realizara en la zona que se lo necesite</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5E12C0" w:rsidRDefault="00E67C39" w:rsidP="00E67C39">
      <w:pPr>
        <w:jc w:val="both"/>
        <w:rPr>
          <w:rFonts w:ascii="Arial" w:hAnsi="Arial" w:cs="Arial"/>
          <w:b/>
          <w:sz w:val="24"/>
          <w:szCs w:val="24"/>
        </w:rPr>
      </w:pPr>
      <w:r w:rsidRPr="005E12C0">
        <w:rPr>
          <w:rFonts w:ascii="Arial" w:hAnsi="Arial" w:cs="Arial"/>
          <w:b/>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8"/>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28 .-MEDICIÓN DE PUESTA A TIERRA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Se realizara la medición de puesta a tierra de todos los equipos que lo requieran y de todos los puntos que se requiera en la ESR.</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5E12C0" w:rsidRDefault="00E67C39" w:rsidP="00E67C39">
      <w:pPr>
        <w:jc w:val="both"/>
        <w:rPr>
          <w:rFonts w:ascii="Arial" w:hAnsi="Arial" w:cs="Arial"/>
          <w:b/>
          <w:sz w:val="24"/>
          <w:szCs w:val="24"/>
        </w:rPr>
      </w:pPr>
      <w:r w:rsidRPr="005E12C0">
        <w:rPr>
          <w:rFonts w:ascii="Arial" w:hAnsi="Arial" w:cs="Arial"/>
          <w:b/>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19"/>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29 .-PRUEBA DE TODOS LOS INSTRUMENTOS Y DISPOSITIVOS DE ENCLAVAMIENTO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Se realizara una prueba de todos los instrumentos presentes en la ESR, también se probara los dispositivos que tengan enclavamiento.</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 para realizar esta prueba serán a cargo de la contratista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0"/>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30 .-PRUEBAS DE LAZOS Y DE TODO EL SISTEMA DE CONTROL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Se realizara una verificación y funcionamiento efectivo de los lazos y de todo el sistema de control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1"/>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31 .-PRUEBAS DE LAS ALARMAS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Se activaran todas las alarmas con el fin de verificar que todo el sistema efectivamente funciona y no presenta ningún inconveniente</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2"/>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32 .-PRUEBAS ADICIONALES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Default="00E67C39" w:rsidP="00E67C39">
      <w:pPr>
        <w:jc w:val="both"/>
        <w:rPr>
          <w:rFonts w:ascii="Arial" w:hAnsi="Arial" w:cs="Arial"/>
          <w:noProof/>
          <w:sz w:val="24"/>
          <w:szCs w:val="24"/>
        </w:rPr>
      </w:pPr>
      <w:r w:rsidRPr="005E12C0">
        <w:rPr>
          <w:rFonts w:ascii="Arial" w:hAnsi="Arial" w:cs="Arial"/>
          <w:noProof/>
          <w:sz w:val="24"/>
          <w:szCs w:val="24"/>
        </w:rPr>
        <w:t>En caso de que se requiera pruebas adicionales a solicitud del cliente , la contratista deberá realizar las mismas teniendo en cuenta que no se generara ningún costo adicional por las pruebas solicitadas.</w:t>
      </w:r>
    </w:p>
    <w:p w:rsidR="00794CCE" w:rsidRPr="005E12C0" w:rsidRDefault="00794CCE" w:rsidP="00E67C39">
      <w:pPr>
        <w:jc w:val="both"/>
        <w:rPr>
          <w:rFonts w:ascii="Arial" w:hAnsi="Arial" w:cs="Arial"/>
          <w:sz w:val="24"/>
          <w:szCs w:val="24"/>
        </w:rPr>
      </w:pPr>
      <w:r>
        <w:rPr>
          <w:rFonts w:ascii="Arial" w:hAnsi="Arial" w:cs="Arial"/>
          <w:noProof/>
          <w:sz w:val="24"/>
          <w:szCs w:val="24"/>
        </w:rPr>
        <w:t xml:space="preserve">La contratista debera presentar procedimientos de la realizacion de todas y cada una de las pruebas de manera general que incluye tambien a la pruebas adicionales que se realice las mismas deberan ser aprobados por el cliente. </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3"/>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33 .-INSUMOS</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La contratista deberá proveer todos los insumos para las fases de Precomisionado, Comisionado y Puesta en Marcha, de tal forma de tener a disponibilidad todos los insumos que requiera los diferentes insumos de las ESR sin costo adicional para la contratista.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lo que requiera el sistema.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4"/>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b/>
          <w:noProof/>
          <w:sz w:val="24"/>
          <w:szCs w:val="24"/>
        </w:rPr>
      </w:pPr>
      <w:r>
        <w:rPr>
          <w:rFonts w:ascii="Arial" w:hAnsi="Arial" w:cs="Arial"/>
          <w:b/>
          <w:noProof/>
          <w:sz w:val="24"/>
          <w:szCs w:val="24"/>
        </w:rPr>
        <w:lastRenderedPageBreak/>
        <w:t>E</w:t>
      </w:r>
      <w:r w:rsidRPr="005E12C0">
        <w:rPr>
          <w:rFonts w:ascii="Arial" w:hAnsi="Arial" w:cs="Arial"/>
          <w:b/>
          <w:noProof/>
          <w:sz w:val="24"/>
          <w:szCs w:val="24"/>
        </w:rPr>
        <w:t>34 .-PUESTA EN MARCHA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DESCRIPCION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La contratista deberá realizar las siguientes actividades para la puesta en marcha sin ser limitativos: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 Recepción de GNL</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-Enfriamiento gradual de las tuberías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-Gasificación de los circuitos de la ESR</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-Salida del gas natural hacia el punto de destino</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-Continuación de la distribución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-Todos los insumos deben ser cubiertos por el contratista (con autorización del contratante el contratista podrá usar el GNL de la Planta de Rio Grande, pero el costo del transporte (combustible, autorizaciones, seguros y otros) deberán estar a cargo del contratista</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-Recepción de datos de la ESR en la Planta de GNL</w:t>
      </w:r>
    </w:p>
    <w:p w:rsidR="00E67C39" w:rsidRPr="005E12C0" w:rsidRDefault="00155B47" w:rsidP="00931FD5">
      <w:pPr>
        <w:jc w:val="both"/>
        <w:rPr>
          <w:rFonts w:ascii="Arial" w:hAnsi="Arial" w:cs="Arial"/>
          <w:sz w:val="24"/>
          <w:szCs w:val="24"/>
        </w:rPr>
      </w:pPr>
      <w:r>
        <w:rPr>
          <w:rFonts w:ascii="Arial" w:hAnsi="Arial" w:cs="Arial"/>
          <w:noProof/>
          <w:sz w:val="24"/>
          <w:szCs w:val="24"/>
        </w:rPr>
        <w:t xml:space="preserve">-Pruebas de desempeño </w:t>
      </w:r>
      <w:bookmarkStart w:id="0" w:name="_GoBack"/>
      <w:bookmarkEnd w:id="0"/>
    </w:p>
    <w:p w:rsidR="00E67C39" w:rsidRPr="005E12C0" w:rsidRDefault="00E67C39" w:rsidP="00E67C39">
      <w:pPr>
        <w:jc w:val="both"/>
        <w:rPr>
          <w:rFonts w:ascii="Arial" w:hAnsi="Arial" w:cs="Arial"/>
          <w:b/>
          <w:sz w:val="24"/>
          <w:szCs w:val="24"/>
        </w:rPr>
      </w:pPr>
      <w:r w:rsidRPr="005E12C0">
        <w:rPr>
          <w:rFonts w:ascii="Arial" w:hAnsi="Arial" w:cs="Arial"/>
          <w:b/>
          <w:sz w:val="24"/>
          <w:szCs w:val="24"/>
        </w:rPr>
        <w:t>MATERIALES HERRAMIENTAS Y EQUIPOS</w:t>
      </w:r>
    </w:p>
    <w:p w:rsidR="00E67C39" w:rsidRPr="00E67C39" w:rsidRDefault="00E67C39" w:rsidP="00E67C39">
      <w:pPr>
        <w:jc w:val="both"/>
        <w:rPr>
          <w:rFonts w:ascii="Arial" w:hAnsi="Arial" w:cs="Arial"/>
          <w:sz w:val="24"/>
          <w:szCs w:val="24"/>
        </w:rPr>
      </w:pPr>
      <w:r w:rsidRPr="00E67C39">
        <w:rPr>
          <w:rFonts w:ascii="Arial" w:hAnsi="Arial" w:cs="Arial"/>
          <w:noProof/>
          <w:sz w:val="24"/>
          <w:szCs w:val="24"/>
        </w:rPr>
        <w:t>Todo el material que se requiera para la puesta en marcha serán cubiertos por el contratista</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EJECUCION</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Para la ejecución el Contratista deberá presentar un procedimiento que considere todos los aspectos de seguridad e integridad de los equipos.</w:t>
      </w:r>
    </w:p>
    <w:p w:rsidR="00E67C39" w:rsidRPr="005E12C0" w:rsidRDefault="00E67C39" w:rsidP="00E67C39">
      <w:pPr>
        <w:jc w:val="both"/>
        <w:rPr>
          <w:rFonts w:ascii="Arial" w:hAnsi="Arial" w:cs="Arial"/>
          <w:noProof/>
          <w:sz w:val="24"/>
          <w:szCs w:val="24"/>
        </w:rPr>
      </w:pPr>
      <w:r w:rsidRPr="005E12C0">
        <w:rPr>
          <w:rFonts w:ascii="Arial" w:hAnsi="Arial" w:cs="Arial"/>
          <w:noProof/>
          <w:sz w:val="24"/>
          <w:szCs w:val="24"/>
        </w:rPr>
        <w:t>Pruebas de desempeño se realizara por un periodo de 72 horas de carácter continuo.</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El Contratista presentara al Contratante un reporte de la prueba de desempeño en un plazo máximo de 10 días calendario.</w:t>
      </w:r>
    </w:p>
    <w:p w:rsidR="001566E2" w:rsidRDefault="001566E2" w:rsidP="00E67C39">
      <w:pPr>
        <w:jc w:val="both"/>
        <w:rPr>
          <w:rFonts w:ascii="Arial" w:hAnsi="Arial" w:cs="Arial"/>
          <w:b/>
          <w:sz w:val="24"/>
          <w:szCs w:val="24"/>
        </w:rPr>
      </w:pPr>
    </w:p>
    <w:p w:rsidR="00E67C39" w:rsidRPr="005E12C0" w:rsidRDefault="00E67C39" w:rsidP="00E67C39">
      <w:pPr>
        <w:jc w:val="both"/>
        <w:rPr>
          <w:rFonts w:ascii="Arial" w:hAnsi="Arial" w:cs="Arial"/>
          <w:b/>
          <w:sz w:val="24"/>
          <w:szCs w:val="24"/>
        </w:rPr>
      </w:pPr>
      <w:r w:rsidRPr="005E12C0">
        <w:rPr>
          <w:rFonts w:ascii="Arial" w:hAnsi="Arial" w:cs="Arial"/>
          <w:b/>
          <w:sz w:val="24"/>
          <w:szCs w:val="24"/>
        </w:rPr>
        <w:lastRenderedPageBreak/>
        <w:t>MEDICION</w:t>
      </w:r>
    </w:p>
    <w:p w:rsidR="00E67C39" w:rsidRPr="005E12C0" w:rsidRDefault="00E67C39" w:rsidP="00E67C39">
      <w:pPr>
        <w:jc w:val="both"/>
        <w:rPr>
          <w:rFonts w:ascii="Arial" w:hAnsi="Arial" w:cs="Arial"/>
          <w:sz w:val="24"/>
          <w:szCs w:val="24"/>
        </w:rPr>
      </w:pPr>
      <w:r w:rsidRPr="005E12C0">
        <w:rPr>
          <w:rFonts w:ascii="Arial" w:hAnsi="Arial" w:cs="Arial"/>
          <w:noProof/>
          <w:sz w:val="24"/>
          <w:szCs w:val="24"/>
        </w:rPr>
        <w:t>Esta prueba se cotizara de forma global.</w:t>
      </w:r>
    </w:p>
    <w:p w:rsidR="00E67C39" w:rsidRPr="005E12C0" w:rsidRDefault="00E67C39" w:rsidP="00E67C39">
      <w:pPr>
        <w:jc w:val="both"/>
        <w:rPr>
          <w:rFonts w:ascii="Arial" w:hAnsi="Arial" w:cs="Arial"/>
          <w:b/>
          <w:sz w:val="24"/>
          <w:szCs w:val="24"/>
        </w:rPr>
      </w:pPr>
      <w:r w:rsidRPr="005E12C0">
        <w:rPr>
          <w:rFonts w:ascii="Arial" w:hAnsi="Arial" w:cs="Arial"/>
          <w:b/>
          <w:sz w:val="24"/>
          <w:szCs w:val="24"/>
        </w:rPr>
        <w:t>FORMA DE PAGO</w:t>
      </w:r>
    </w:p>
    <w:p w:rsidR="00E67C39" w:rsidRDefault="00E67C39" w:rsidP="00E67C39">
      <w:pPr>
        <w:jc w:val="both"/>
        <w:rPr>
          <w:rFonts w:ascii="Arial" w:hAnsi="Arial" w:cs="Arial"/>
          <w:noProof/>
          <w:sz w:val="24"/>
          <w:szCs w:val="24"/>
        </w:rPr>
      </w:pPr>
      <w:r w:rsidRPr="005E12C0">
        <w:rPr>
          <w:rFonts w:ascii="Arial" w:hAnsi="Arial" w:cs="Arial"/>
          <w:noProof/>
          <w:sz w:val="24"/>
          <w:szCs w:val="24"/>
        </w:rPr>
        <w:t>Esta actividad se pagara una vez finalizado la actividad y con la documentación respectiva aprobada.</w:t>
      </w:r>
    </w:p>
    <w:p w:rsidR="00E67C39" w:rsidRPr="005E12C0" w:rsidRDefault="00E67C39" w:rsidP="00E67C39">
      <w:pPr>
        <w:jc w:val="both"/>
        <w:rPr>
          <w:rFonts w:ascii="Arial" w:hAnsi="Arial" w:cs="Arial"/>
          <w:sz w:val="24"/>
          <w:szCs w:val="24"/>
        </w:rPr>
        <w:sectPr w:rsidR="00E67C39" w:rsidRPr="005E12C0" w:rsidSect="00E93B1A">
          <w:headerReference w:type="default" r:id="rId25"/>
          <w:pgSz w:w="12240" w:h="15840"/>
          <w:pgMar w:top="1417" w:right="1701" w:bottom="1417" w:left="1701" w:header="708" w:footer="708" w:gutter="0"/>
          <w:pgNumType w:start="1"/>
          <w:cols w:space="708"/>
          <w:docGrid w:linePitch="360"/>
        </w:sectPr>
      </w:pPr>
    </w:p>
    <w:p w:rsidR="00E67C39" w:rsidRPr="005E12C0" w:rsidRDefault="00E67C39" w:rsidP="00E67C39">
      <w:pPr>
        <w:jc w:val="both"/>
        <w:rPr>
          <w:rFonts w:ascii="Arial" w:hAnsi="Arial" w:cs="Arial"/>
          <w:sz w:val="24"/>
          <w:szCs w:val="24"/>
        </w:rPr>
      </w:pPr>
    </w:p>
    <w:p w:rsidR="00FC0958" w:rsidRPr="00E67C39" w:rsidRDefault="00FC0958" w:rsidP="00E67C39"/>
    <w:sectPr w:rsidR="00FC0958" w:rsidRPr="00E67C39" w:rsidSect="00FC0958">
      <w:headerReference w:type="default" r:id="rId26"/>
      <w:type w:val="continuous"/>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3794" w:rsidRDefault="004C3794" w:rsidP="007C0C82">
      <w:pPr>
        <w:spacing w:after="0" w:line="240" w:lineRule="auto"/>
      </w:pPr>
      <w:r>
        <w:separator/>
      </w:r>
    </w:p>
  </w:endnote>
  <w:endnote w:type="continuationSeparator" w:id="0">
    <w:p w:rsidR="004C3794" w:rsidRDefault="004C3794" w:rsidP="007C0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3794" w:rsidRDefault="004C3794" w:rsidP="007C0C82">
      <w:pPr>
        <w:spacing w:after="0" w:line="240" w:lineRule="auto"/>
      </w:pPr>
      <w:r>
        <w:separator/>
      </w:r>
    </w:p>
  </w:footnote>
  <w:footnote w:type="continuationSeparator" w:id="0">
    <w:p w:rsidR="004C3794" w:rsidRDefault="004C3794" w:rsidP="007C0C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2910B455" wp14:editId="00E2FCD2">
                <wp:extent cx="904875" cy="531541"/>
                <wp:effectExtent l="0" t="0" r="0" b="19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Pr="007C0C82" w:rsidRDefault="00E67C39" w:rsidP="009148FD">
    <w:pPr>
      <w:tabs>
        <w:tab w:val="left" w:pos="5341"/>
      </w:tabs>
      <w:spacing w:after="0" w:line="240" w:lineRule="auto"/>
      <w:outlineLvl w:val="0"/>
      <w:rPr>
        <w:rFonts w:cs="Arial"/>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E67C39">
    <w:pPr>
      <w:pStyle w:val="Encabezado"/>
    </w:pPr>
  </w:p>
  <w:p w:rsidR="00E67C39" w:rsidRPr="00E67C39" w:rsidRDefault="00E67C39" w:rsidP="00E67C39">
    <w:pPr>
      <w:pStyle w:val="Encabezado"/>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8FD" w:rsidRDefault="007C0C82" w:rsidP="009148FD">
    <w:pPr>
      <w:tabs>
        <w:tab w:val="left" w:pos="5341"/>
      </w:tabs>
      <w:spacing w:after="0" w:line="240" w:lineRule="auto"/>
      <w:outlineLvl w:val="0"/>
      <w:rPr>
        <w:rFonts w:cs="Arial"/>
        <w:b/>
        <w:sz w:val="28"/>
      </w:rPr>
    </w:pPr>
    <w:bookmarkStart w:id="1" w:name="_Toc407707754"/>
    <w:r w:rsidRPr="007C0C82">
      <w:rPr>
        <w:noProof/>
        <w:sz w:val="28"/>
        <w:lang w:eastAsia="zh-TW"/>
      </w:rPr>
      <w:drawing>
        <wp:anchor distT="0" distB="0" distL="114300" distR="114300" simplePos="0" relativeHeight="251659264" behindDoc="1" locked="0" layoutInCell="1" allowOverlap="1" wp14:anchorId="28B5D1DB" wp14:editId="624093D3">
          <wp:simplePos x="0" y="0"/>
          <wp:positionH relativeFrom="column">
            <wp:posOffset>5033527</wp:posOffset>
          </wp:positionH>
          <wp:positionV relativeFrom="paragraph">
            <wp:posOffset>-118642</wp:posOffset>
          </wp:positionV>
          <wp:extent cx="1243330" cy="697865"/>
          <wp:effectExtent l="0" t="0" r="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43330" cy="697865"/>
                  </a:xfrm>
                  <a:prstGeom prst="rect">
                    <a:avLst/>
                  </a:prstGeom>
                </pic:spPr>
              </pic:pic>
            </a:graphicData>
          </a:graphic>
          <wp14:sizeRelH relativeFrom="page">
            <wp14:pctWidth>0</wp14:pctWidth>
          </wp14:sizeRelH>
          <wp14:sizeRelV relativeFrom="page">
            <wp14:pctHeight>0</wp14:pctHeight>
          </wp14:sizeRelV>
        </wp:anchor>
      </w:drawing>
    </w:r>
    <w:bookmarkEnd w:id="1"/>
    <w:r w:rsidR="002D44FE">
      <w:rPr>
        <w:rFonts w:cs="Arial"/>
        <w:b/>
        <w:sz w:val="28"/>
      </w:rPr>
      <w:t>Anexo F</w:t>
    </w:r>
    <w:r w:rsidR="009148FD" w:rsidRPr="009148FD">
      <w:rPr>
        <w:rFonts w:cs="Arial"/>
        <w:b/>
        <w:sz w:val="28"/>
      </w:rPr>
      <w:t xml:space="preserve"> (Especificaciones </w:t>
    </w:r>
    <w:r w:rsidR="00C85F02">
      <w:rPr>
        <w:rFonts w:cs="Arial"/>
        <w:b/>
        <w:sz w:val="28"/>
      </w:rPr>
      <w:t>Precomisionado,</w:t>
    </w:r>
    <w:r w:rsidR="00C85F02" w:rsidRPr="00C85F02">
      <w:rPr>
        <w:rFonts w:cs="Arial"/>
        <w:b/>
        <w:sz w:val="28"/>
      </w:rPr>
      <w:t xml:space="preserve"> Comisionado y Puesta en Marcha</w:t>
    </w:r>
    <w:r w:rsidR="009148FD" w:rsidRPr="009148FD">
      <w:rPr>
        <w:rFonts w:cs="Arial"/>
        <w:b/>
        <w:sz w:val="28"/>
      </w:rPr>
      <w:t>)</w:t>
    </w:r>
  </w:p>
  <w:p w:rsidR="007C0C82" w:rsidRDefault="007C0C82" w:rsidP="009148FD">
    <w:pPr>
      <w:tabs>
        <w:tab w:val="left" w:pos="5341"/>
      </w:tabs>
      <w:spacing w:after="0" w:line="240" w:lineRule="auto"/>
      <w:outlineLvl w:val="0"/>
      <w:rPr>
        <w:rFonts w:cs="Arial"/>
      </w:rPr>
    </w:pPr>
    <w:r>
      <w:rPr>
        <w:rFonts w:cs="Arial"/>
      </w:rPr>
      <w:t>INSTALACION DE VEINTIDOS (22) ESRTACIONES SATELITALRES DE REGASIFICACION (</w:t>
    </w:r>
    <w:proofErr w:type="spellStart"/>
    <w:r>
      <w:rPr>
        <w:rFonts w:cs="Arial"/>
      </w:rPr>
      <w:t>ESR’s</w:t>
    </w:r>
    <w:proofErr w:type="spellEnd"/>
    <w:r>
      <w:rPr>
        <w:rFonts w:cs="Arial"/>
      </w:rPr>
      <w:t>)</w:t>
    </w:r>
  </w:p>
  <w:p w:rsidR="009148FD" w:rsidRDefault="009148FD" w:rsidP="009148FD">
    <w:pPr>
      <w:tabs>
        <w:tab w:val="left" w:pos="5341"/>
      </w:tabs>
      <w:spacing w:after="0" w:line="240" w:lineRule="auto"/>
      <w:outlineLvl w:val="0"/>
      <w:rPr>
        <w:rFonts w:cs="Arial"/>
      </w:rPr>
    </w:pPr>
  </w:p>
  <w:p w:rsidR="002D44FE" w:rsidRPr="007C0C82" w:rsidRDefault="002D44FE" w:rsidP="009148FD">
    <w:pPr>
      <w:tabs>
        <w:tab w:val="left" w:pos="5341"/>
      </w:tabs>
      <w:spacing w:after="0" w:line="240" w:lineRule="auto"/>
      <w:outlineLvl w:val="0"/>
      <w:rPr>
        <w:rFonts w:cs="Aria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Pr="007C0C82" w:rsidRDefault="00E67C39" w:rsidP="009148FD">
    <w:pPr>
      <w:tabs>
        <w:tab w:val="left" w:pos="5341"/>
      </w:tabs>
      <w:spacing w:after="0" w:line="240" w:lineRule="auto"/>
      <w:outlineLvl w:val="0"/>
      <w:rPr>
        <w:rFonts w:cs="Aria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E67C39" w:rsidRPr="006B3BA2" w:rsidTr="00E1294A">
      <w:trPr>
        <w:trHeight w:val="810"/>
        <w:jc w:val="center"/>
      </w:trPr>
      <w:tc>
        <w:tcPr>
          <w:tcW w:w="1986" w:type="dxa"/>
          <w:vMerge w:val="restart"/>
          <w:vAlign w:val="center"/>
        </w:tcPr>
        <w:p w:rsidR="00E67C39" w:rsidRPr="006B3BA2" w:rsidRDefault="00E67C39" w:rsidP="00E1294A">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eastAsia="zh-TW"/>
            </w:rPr>
            <w:drawing>
              <wp:inline distT="0" distB="0" distL="0" distR="0" wp14:anchorId="16A0BD42" wp14:editId="2F8956EF">
                <wp:extent cx="904875" cy="531541"/>
                <wp:effectExtent l="0" t="0" r="0" b="190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E67C39" w:rsidRPr="006B3BA2" w:rsidTr="00E1294A">
      <w:trPr>
        <w:trHeight w:val="616"/>
        <w:jc w:val="center"/>
      </w:trPr>
      <w:tc>
        <w:tcPr>
          <w:tcW w:w="1986" w:type="dxa"/>
          <w:vMerge/>
          <w:vAlign w:val="center"/>
        </w:tcPr>
        <w:p w:rsidR="00E67C39" w:rsidRDefault="00E67C39" w:rsidP="00E1294A">
          <w:pPr>
            <w:pStyle w:val="Encabezado"/>
            <w:ind w:left="34" w:hanging="34"/>
            <w:jc w:val="center"/>
            <w:rPr>
              <w:rFonts w:ascii="Century Gothic" w:hAnsi="Century Gothic"/>
              <w:noProof/>
              <w:sz w:val="18"/>
              <w:szCs w:val="18"/>
              <w:lang w:eastAsia="es-BO"/>
            </w:rPr>
          </w:pPr>
        </w:p>
      </w:tc>
      <w:tc>
        <w:tcPr>
          <w:tcW w:w="6662" w:type="dxa"/>
          <w:vAlign w:val="center"/>
        </w:tcPr>
        <w:p w:rsidR="00E67C39" w:rsidRPr="00FF3CC9" w:rsidRDefault="00E67C39" w:rsidP="00E1294A">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E</w:t>
          </w:r>
        </w:p>
      </w:tc>
      <w:tc>
        <w:tcPr>
          <w:tcW w:w="1828" w:type="dxa"/>
          <w:vMerge/>
          <w:shd w:val="clear" w:color="auto" w:fill="auto"/>
          <w:vAlign w:val="center"/>
        </w:tcPr>
        <w:p w:rsidR="00E67C39" w:rsidRPr="00FF3CC9" w:rsidRDefault="00E67C39" w:rsidP="00E1294A">
          <w:pPr>
            <w:tabs>
              <w:tab w:val="center" w:pos="4252"/>
              <w:tab w:val="right" w:pos="8504"/>
            </w:tabs>
            <w:spacing w:after="0" w:line="240" w:lineRule="auto"/>
            <w:jc w:val="center"/>
            <w:rPr>
              <w:rFonts w:ascii="Arial Narrow" w:eastAsia="Arial Unicode MS" w:hAnsi="Arial Narrow" w:cs="Arial"/>
              <w:b/>
              <w:lang w:val="es-MX"/>
            </w:rPr>
          </w:pPr>
        </w:p>
      </w:tc>
    </w:tr>
  </w:tbl>
  <w:p w:rsidR="00E67C39" w:rsidRDefault="00E67C39" w:rsidP="009148FD">
    <w:pPr>
      <w:tabs>
        <w:tab w:val="left" w:pos="5341"/>
      </w:tabs>
      <w:spacing w:after="0" w:line="240" w:lineRule="auto"/>
      <w:outlineLvl w:val="0"/>
      <w:rPr>
        <w:rFonts w:cs="Arial"/>
      </w:rPr>
    </w:pPr>
  </w:p>
  <w:p w:rsidR="00E67C39" w:rsidRPr="007C0C82" w:rsidRDefault="00E67C39" w:rsidP="009148FD">
    <w:pPr>
      <w:tabs>
        <w:tab w:val="left" w:pos="5341"/>
      </w:tabs>
      <w:spacing w:after="0" w:line="240" w:lineRule="auto"/>
      <w:outlineLvl w:val="0"/>
      <w:rPr>
        <w:rFonts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F412D34"/>
    <w:multiLevelType w:val="hybridMultilevel"/>
    <w:tmpl w:val="D8C800B0"/>
    <w:lvl w:ilvl="0" w:tplc="400A0001">
      <w:start w:val="1"/>
      <w:numFmt w:val="bullet"/>
      <w:lvlText w:val=""/>
      <w:lvlJc w:val="left"/>
      <w:pPr>
        <w:ind w:left="1391" w:hanging="360"/>
      </w:pPr>
      <w:rPr>
        <w:rFonts w:ascii="Symbol" w:hAnsi="Symbol" w:hint="default"/>
      </w:rPr>
    </w:lvl>
    <w:lvl w:ilvl="1" w:tplc="400A0003">
      <w:start w:val="1"/>
      <w:numFmt w:val="bullet"/>
      <w:lvlText w:val="o"/>
      <w:lvlJc w:val="left"/>
      <w:pPr>
        <w:ind w:left="2111" w:hanging="360"/>
      </w:pPr>
      <w:rPr>
        <w:rFonts w:ascii="Courier New" w:hAnsi="Courier New" w:cs="Courier New" w:hint="default"/>
      </w:rPr>
    </w:lvl>
    <w:lvl w:ilvl="2" w:tplc="400A0005" w:tentative="1">
      <w:start w:val="1"/>
      <w:numFmt w:val="bullet"/>
      <w:lvlText w:val=""/>
      <w:lvlJc w:val="left"/>
      <w:pPr>
        <w:ind w:left="2831" w:hanging="360"/>
      </w:pPr>
      <w:rPr>
        <w:rFonts w:ascii="Wingdings" w:hAnsi="Wingdings" w:hint="default"/>
      </w:rPr>
    </w:lvl>
    <w:lvl w:ilvl="3" w:tplc="400A0001" w:tentative="1">
      <w:start w:val="1"/>
      <w:numFmt w:val="bullet"/>
      <w:lvlText w:val=""/>
      <w:lvlJc w:val="left"/>
      <w:pPr>
        <w:ind w:left="3551" w:hanging="360"/>
      </w:pPr>
      <w:rPr>
        <w:rFonts w:ascii="Symbol" w:hAnsi="Symbol" w:hint="default"/>
      </w:rPr>
    </w:lvl>
    <w:lvl w:ilvl="4" w:tplc="400A0003" w:tentative="1">
      <w:start w:val="1"/>
      <w:numFmt w:val="bullet"/>
      <w:lvlText w:val="o"/>
      <w:lvlJc w:val="left"/>
      <w:pPr>
        <w:ind w:left="4271" w:hanging="360"/>
      </w:pPr>
      <w:rPr>
        <w:rFonts w:ascii="Courier New" w:hAnsi="Courier New" w:cs="Courier New" w:hint="default"/>
      </w:rPr>
    </w:lvl>
    <w:lvl w:ilvl="5" w:tplc="400A0005" w:tentative="1">
      <w:start w:val="1"/>
      <w:numFmt w:val="bullet"/>
      <w:lvlText w:val=""/>
      <w:lvlJc w:val="left"/>
      <w:pPr>
        <w:ind w:left="4991" w:hanging="360"/>
      </w:pPr>
      <w:rPr>
        <w:rFonts w:ascii="Wingdings" w:hAnsi="Wingdings" w:hint="default"/>
      </w:rPr>
    </w:lvl>
    <w:lvl w:ilvl="6" w:tplc="400A0001" w:tentative="1">
      <w:start w:val="1"/>
      <w:numFmt w:val="bullet"/>
      <w:lvlText w:val=""/>
      <w:lvlJc w:val="left"/>
      <w:pPr>
        <w:ind w:left="5711" w:hanging="360"/>
      </w:pPr>
      <w:rPr>
        <w:rFonts w:ascii="Symbol" w:hAnsi="Symbol" w:hint="default"/>
      </w:rPr>
    </w:lvl>
    <w:lvl w:ilvl="7" w:tplc="400A0003" w:tentative="1">
      <w:start w:val="1"/>
      <w:numFmt w:val="bullet"/>
      <w:lvlText w:val="o"/>
      <w:lvlJc w:val="left"/>
      <w:pPr>
        <w:ind w:left="6431" w:hanging="360"/>
      </w:pPr>
      <w:rPr>
        <w:rFonts w:ascii="Courier New" w:hAnsi="Courier New" w:cs="Courier New" w:hint="default"/>
      </w:rPr>
    </w:lvl>
    <w:lvl w:ilvl="8" w:tplc="400A0005" w:tentative="1">
      <w:start w:val="1"/>
      <w:numFmt w:val="bullet"/>
      <w:lvlText w:val=""/>
      <w:lvlJc w:val="left"/>
      <w:pPr>
        <w:ind w:left="7151"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BO"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0C82"/>
    <w:rsid w:val="00025632"/>
    <w:rsid w:val="00032C45"/>
    <w:rsid w:val="00092290"/>
    <w:rsid w:val="00155B47"/>
    <w:rsid w:val="001566E2"/>
    <w:rsid w:val="001D775F"/>
    <w:rsid w:val="001F2E09"/>
    <w:rsid w:val="002D44FE"/>
    <w:rsid w:val="002D46C5"/>
    <w:rsid w:val="003132CE"/>
    <w:rsid w:val="0034570F"/>
    <w:rsid w:val="003A31AC"/>
    <w:rsid w:val="003C6EAA"/>
    <w:rsid w:val="004C3794"/>
    <w:rsid w:val="005E12C0"/>
    <w:rsid w:val="006244FC"/>
    <w:rsid w:val="006637AB"/>
    <w:rsid w:val="006B36A8"/>
    <w:rsid w:val="006E2C28"/>
    <w:rsid w:val="0072503F"/>
    <w:rsid w:val="00794CCE"/>
    <w:rsid w:val="007C0C82"/>
    <w:rsid w:val="007C64D3"/>
    <w:rsid w:val="009148FD"/>
    <w:rsid w:val="00923096"/>
    <w:rsid w:val="00931FD5"/>
    <w:rsid w:val="00A2355B"/>
    <w:rsid w:val="00A62269"/>
    <w:rsid w:val="00AD737C"/>
    <w:rsid w:val="00B1559F"/>
    <w:rsid w:val="00B44E9C"/>
    <w:rsid w:val="00B45054"/>
    <w:rsid w:val="00B470AB"/>
    <w:rsid w:val="00BC55AC"/>
    <w:rsid w:val="00C063A4"/>
    <w:rsid w:val="00C413FF"/>
    <w:rsid w:val="00C74C4C"/>
    <w:rsid w:val="00C85F02"/>
    <w:rsid w:val="00D40771"/>
    <w:rsid w:val="00D91BE1"/>
    <w:rsid w:val="00D97FE6"/>
    <w:rsid w:val="00E001AD"/>
    <w:rsid w:val="00E67C39"/>
    <w:rsid w:val="00E93B1A"/>
    <w:rsid w:val="00EC1971"/>
    <w:rsid w:val="00F10A53"/>
    <w:rsid w:val="00F841DC"/>
    <w:rsid w:val="00F97BCD"/>
    <w:rsid w:val="00FC0958"/>
  </w:rsids>
  <m:mathPr>
    <m:mathFont m:val="Cambria Math"/>
    <m:brkBin m:val="before"/>
    <m:brkBinSub m:val="--"/>
    <m:smallFrac m:val="0"/>
    <m:dispDef/>
    <m:lMargin m:val="0"/>
    <m:rMargin m:val="0"/>
    <m:defJc m:val="centerGroup"/>
    <m:wrapIndent m:val="1440"/>
    <m:intLim m:val="subSup"/>
    <m:naryLim m:val="undOvr"/>
  </m:mathPr>
  <w:themeFontLang w:val="es-BO"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8810537-AB19-43D3-B359-58791F43A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 Linea 1"/>
    <w:basedOn w:val="Normal"/>
    <w:link w:val="EncabezadoCar"/>
    <w:unhideWhenUsed/>
    <w:rsid w:val="007C0C82"/>
    <w:pPr>
      <w:tabs>
        <w:tab w:val="center" w:pos="4419"/>
        <w:tab w:val="right" w:pos="8838"/>
      </w:tabs>
      <w:spacing w:after="0" w:line="240" w:lineRule="auto"/>
    </w:pPr>
  </w:style>
  <w:style w:type="character" w:customStyle="1" w:styleId="EncabezadoCar">
    <w:name w:val="Encabezado Car"/>
    <w:aliases w:val="encabezado Car,Encabezado Linea 1 Car"/>
    <w:basedOn w:val="Fuentedeprrafopredeter"/>
    <w:link w:val="Encabezado"/>
    <w:rsid w:val="007C0C82"/>
  </w:style>
  <w:style w:type="paragraph" w:styleId="Piedepgina">
    <w:name w:val="footer"/>
    <w:basedOn w:val="Normal"/>
    <w:link w:val="PiedepginaCar"/>
    <w:uiPriority w:val="99"/>
    <w:unhideWhenUsed/>
    <w:rsid w:val="007C0C8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C0C82"/>
  </w:style>
  <w:style w:type="paragraph" w:styleId="Textodeglobo">
    <w:name w:val="Balloon Text"/>
    <w:basedOn w:val="Normal"/>
    <w:link w:val="TextodegloboCar"/>
    <w:uiPriority w:val="99"/>
    <w:semiHidden/>
    <w:unhideWhenUsed/>
    <w:rsid w:val="007C0C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0C82"/>
    <w:rPr>
      <w:rFonts w:ascii="Tahoma" w:hAnsi="Tahoma" w:cs="Tahoma"/>
      <w:sz w:val="16"/>
      <w:szCs w:val="16"/>
    </w:rPr>
  </w:style>
  <w:style w:type="paragraph" w:styleId="Prrafodelista">
    <w:name w:val="List Paragraph"/>
    <w:aliases w:val="본문1"/>
    <w:basedOn w:val="Normal"/>
    <w:link w:val="PrrafodelistaCar"/>
    <w:uiPriority w:val="34"/>
    <w:qFormat/>
    <w:rsid w:val="007C0C82"/>
    <w:pPr>
      <w:spacing w:before="120" w:after="120" w:line="360" w:lineRule="auto"/>
      <w:ind w:left="708"/>
      <w:jc w:val="both"/>
    </w:pPr>
    <w:rPr>
      <w:rFonts w:ascii="Arial" w:eastAsia="Times New Roman" w:hAnsi="Arial" w:cs="Times New Roman"/>
      <w:sz w:val="20"/>
      <w:szCs w:val="24"/>
      <w:lang w:val="es-ES" w:eastAsia="es-ES"/>
    </w:rPr>
  </w:style>
  <w:style w:type="character" w:customStyle="1" w:styleId="PrrafodelistaCar">
    <w:name w:val="Párrafo de lista Car"/>
    <w:aliases w:val="본문1 Car"/>
    <w:link w:val="Prrafodelista"/>
    <w:uiPriority w:val="34"/>
    <w:locked/>
    <w:rsid w:val="007C0C82"/>
    <w:rPr>
      <w:rFonts w:ascii="Arial" w:eastAsia="Times New Roman" w:hAnsi="Arial" w:cs="Times New Roman"/>
      <w:sz w:val="20"/>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7.xml"/><Relationship Id="rId18" Type="http://schemas.openxmlformats.org/officeDocument/2006/relationships/header" Target="header12.xml"/><Relationship Id="rId26" Type="http://schemas.openxmlformats.org/officeDocument/2006/relationships/header" Target="header20.xml"/><Relationship Id="rId3" Type="http://schemas.openxmlformats.org/officeDocument/2006/relationships/settings" Target="settings.xml"/><Relationship Id="rId21" Type="http://schemas.openxmlformats.org/officeDocument/2006/relationships/header" Target="header15.xml"/><Relationship Id="rId7" Type="http://schemas.openxmlformats.org/officeDocument/2006/relationships/header" Target="header1.xml"/><Relationship Id="rId12" Type="http://schemas.openxmlformats.org/officeDocument/2006/relationships/header" Target="header6.xml"/><Relationship Id="rId17" Type="http://schemas.openxmlformats.org/officeDocument/2006/relationships/header" Target="header11.xml"/><Relationship Id="rId25" Type="http://schemas.openxmlformats.org/officeDocument/2006/relationships/header" Target="header19.xml"/><Relationship Id="rId2" Type="http://schemas.openxmlformats.org/officeDocument/2006/relationships/styles" Target="styles.xml"/><Relationship Id="rId16" Type="http://schemas.openxmlformats.org/officeDocument/2006/relationships/header" Target="header10.xml"/><Relationship Id="rId20" Type="http://schemas.openxmlformats.org/officeDocument/2006/relationships/header" Target="header1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5.xml"/><Relationship Id="rId24" Type="http://schemas.openxmlformats.org/officeDocument/2006/relationships/header" Target="header18.xml"/><Relationship Id="rId5" Type="http://schemas.openxmlformats.org/officeDocument/2006/relationships/footnotes" Target="footnotes.xml"/><Relationship Id="rId15" Type="http://schemas.openxmlformats.org/officeDocument/2006/relationships/header" Target="header9.xml"/><Relationship Id="rId23" Type="http://schemas.openxmlformats.org/officeDocument/2006/relationships/header" Target="header17.xml"/><Relationship Id="rId28" Type="http://schemas.openxmlformats.org/officeDocument/2006/relationships/theme" Target="theme/theme1.xml"/><Relationship Id="rId10" Type="http://schemas.openxmlformats.org/officeDocument/2006/relationships/header" Target="header4.xml"/><Relationship Id="rId19" Type="http://schemas.openxmlformats.org/officeDocument/2006/relationships/header" Target="header13.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eader" Target="header8.xml"/><Relationship Id="rId22" Type="http://schemas.openxmlformats.org/officeDocument/2006/relationships/header" Target="header16.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27</Pages>
  <Words>3690</Words>
  <Characters>20300</Characters>
  <Application>Microsoft Office Word</Application>
  <DocSecurity>0</DocSecurity>
  <Lines>169</Lines>
  <Paragraphs>47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23943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Miguel Angel Mamani Mamani</dc:creator>
  <cp:lastModifiedBy>Reynaldo Ticona Huanca</cp:lastModifiedBy>
  <cp:revision>9</cp:revision>
  <cp:lastPrinted>2014-12-30T21:53:00Z</cp:lastPrinted>
  <dcterms:created xsi:type="dcterms:W3CDTF">2014-12-31T01:25:00Z</dcterms:created>
  <dcterms:modified xsi:type="dcterms:W3CDTF">2015-05-06T14:17:00Z</dcterms:modified>
</cp:coreProperties>
</file>